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2013/413 vom 7. April 2017</w:t>
      </w:r>
    </w:p>
    <w:p>
      <w:r>
        <w:t>Sg Versicherungsgericht, 2017-04-07, DE</w:t>
      </w:r>
    </w:p>
    <w:p>
      <w:r>
        <w:rPr>
          <w:b/>
        </w:rPr>
        <w:t xml:space="preserve">Quelle: </w:t>
      </w:r>
      <w:r>
        <w:t>https://mcp.opencaselaw.ch/entscheid/sg_publikationen_IV 2013_413</w:t>
      </w:r>
    </w:p>
    <w:p>
      <w:r>
        <w:t>FR: SG_VERSICHERUNGSGERICHT IV 2013/413 du 7 avril 2017</w:t>
      </w:r>
    </w:p>
    <w:p>
      <w:r>
        <w:t>IT: SG_VERSICHERUNGSGERICHT IV 2013/413 del 7 aprile 2017</w:t>
      </w:r>
    </w:p>
    <w:p>
      <w:pPr>
        <w:pStyle w:val="Heading2"/>
      </w:pPr>
      <w:r>
        <w:t>Regeste</w:t>
      </w:r>
    </w:p>
    <w:p>
      <w:r>
        <w:t>Schlussbestimmung lit. a der Änderung des Bundesgesetzes über die Invalidenversicherung vom 18. März 2011. Rentenrevision. Nachdem heute kein invalidisierender Gesundheitsschaden vorliegt, ist die auf Grund eines therapieresistenten lumbospondylogenen Syndroms zugesprochene ganze Invalidenrente aufzuheben (Entscheid des Versicherungsgerichts des Kantons St. Gallen vom 7. April 2017, IV 2013/413).</w:t>
      </w:r>
    </w:p>
    <w:p>
      <w:pPr>
        <w:pStyle w:val="Heading2"/>
      </w:pPr>
      <w:r>
        <w:t>Erwägungen</w:t>
      </w:r>
    </w:p>
    <w:p>
      <w:r>
        <w:rPr>
          <w:b/>
        </w:rPr>
        <w:t>E. 1</w:t>
      </w:r>
    </w:p>
    <w:p>
      <w:r>
        <w:t>1.1  Umstritten und zu prüfen ist, ob die Beschwerdegegnerin mit der Verfügung vom 5. August 2013 die bisherige ganze Rente des Beschwerdeführers zu Recht gestützt auf die seit 1. Januar 2012 geltende Schlussbestimmung lit. a der Änderung des Bundesgesetzes über die Invalidenversicherung (IVG; SR 831.20) vom 18. März 2011 (nachfolgend: Schlussbestimmung lit. a) aufgehoben hat. 1.2  Gemäss Abs. 1 der Schlussbestimmung lit. a werden Renten, die bei pathogenetisch-ätiologisch unklaren syndromalen Beschwerdebildern ohne nachweisbare organische Grundlage (sogenannte PÄUSBONOG; Urteil des Bundesgerichts vom 3. Juli 2013, 8C_1014/2012, E. 7.2.1) gesprochen wurden, innerhalb von drei Jahren nach Inkrafttreten dieser Änderung überprüft. Sind die Voraussetzungen nach Art. 7 des Bundesgesetzes über den Allgemeinen Teil des Sozialversicherungsrechts (ATSG; SR 830.1) nicht erfüllt, so wird die Rente herabgesetzt oder aufgehoben, auch wenn die allgemeinen Revisionsvoraussetzungen nach Art. 17 Abs. 1 ATSG nicht erfüllt sind. Abs. 4 der Schlussbestimmung lit. a präzisiert, dass Abs. 1 keine Anwendung auf Personen findet, die im Zeitpunkt des Inkrafttretens der Änderung das 55. Altersjahr zurückgelegt haben oder im Zeitpunkt, in dem die Überprüfung eingeleitet wird, seit mehr als 15 Jahren eine Rente der Invalidenversicherung beziehen.</w:t>
      </w:r>
    </w:p>
    <w:p>
      <w:r>
        <w:rPr>
          <w:b/>
        </w:rPr>
        <w:t>E. 2</w:t>
      </w:r>
    </w:p>
    <w:p>
      <w:r>
        <w:t>2.1  Die Beschwerdegegnerin führte ab Februar 2012 die in der Schlussbestimmung lit. a vorgesehene Überprüfung der laufenden Rente durch. Dabei stützte sie die Aufhebung der ganzen Rente des Beschwerdeführers auf das bidisziplinäre Gutachten der Dres. D.___ und E.___ vom 8. Februar 2013. Die Experten diagnostizierten in rheumatologischer Hinsicht ein iliosakrales Schmerzsyndrom beidseits bei/mit lumbosakraler Übergangsstörung mit Lumbalisation von S1 und Nearthrose zum Ilium links, Bogenschlussanomalie von S1, anamnestisch intermittierend lumbospondylogenen Symptomen beidseits rechtsbetont, Symptomausweitung bei psychogener Problemkonstellation mit Schmerzvermeideverhalten und iatrogener Invalidisierung sowie geringem organischem Korrelat. Dieser Diagnose massen die Gutachter keine Auswirkung auf die Arbeitsfähigkeit bei. In psychiatrischer Hinsicht diagnostizierten sie - mit Einfluss auf die Arbeitsfähigkeit - eine somatoforme Schmerzstörung mit chronifiziertem, therapieresistentem Verlauf (F45.41 [act. G 4.1/78.16]). Da der psychiatrische Experte eine genauere Beurteilung der Einschränkung der Arbeitsfähigkeit ohne weitergehende berufliche Massnahmen zur Beurteilung des Leistungsprofils in einer Arbeitssituation nicht vornehmen konnte - immerhin aber davon ausging, dass theoretisch eine Arbeitsfähigkeit von 100 % wieder erreicht werden könnte (act. G 4.1/78.21) - holte das Versicherungsgericht ein psychiatrisches Gerichtsgutachten ein. 2.2  Im entsprechenden Gutachten vom 6. Dezember 2016 diagnostiziert Dr. G.___ ebenfalls eine chronische Schmerzstörung mit somatischen und psychischen Faktoren (F45.41). Während kein depressives Symptom mehr vorliege, beständen Hinweise, dass der Beschwerdeführer in der Vergangenheit wiederholte Anpassungsstörungen mit längerer depressiver Reaktion (F43.21) gezeigt habe. Eine Persönlichkeitsanomalie, die nach ICD-10 kodiert werden könnte (entweder als Persönlichkeitsstörung F60 oder als akzentuierte Persönlichkeit Z73.1), habe nicht gefunden werden können. Da der Beschwerdeführer aktuell im Grunde nur Beeinträchtigungen auf somatischer Ebene geltend mache, bestehe auf psychiatrischer Ebene kein Anlass, ihm eine substanzielle Arbeitsunfähigkeit zu bescheinigen. Dies umso weniger, als das Element "depressive Verstimmung" seit geraumer Zeit weggefallen sei. Was seine somatoformen Störungen angehe, so seien diese ein Resultat von persönlichen Risikofaktoren und invaliditätsfremden Belastungsfaktoren. Der Anteil der persönlichkeitsinhärenten Faktoren sei dabei eher gering zu veranschlagen, da weder eine Persönlichkeitsstörung noch eine akzentuierte Persönlichkeit diagnostiziert werden könnten. Aus psychiatrischer Sicht bestehe kein Grund, beim Beschwerdeführer von einer um mehr als 20 % verminderten Arbeitsfähigkeit auszugehen. Dies beziehe sich auf eine leidensadaptierte Tätigkeit, die dem aktuellen Beschwerdebild des Beschwerdeführers gerecht werden müsse. Der Arbeitsplatz habe vor allem der verminderten Rückenbelastbarkeit Rechnung zu tragen, was das Heben schwerer Lasten, aber auch ausgesprochene Zwangshaltungen ausschliesse. Zu bevorzugen sei also eine wechselnd belastende Tätigkeit, bei welcher der Beschwerdeführer seine Körperstellung immer wieder variieren könne, d.h. nicht stundenlang in sitzender Position verharren müsse. Zusätzlich sei an die Möglichkeit von vermehrten Pausen zu denken. Inhaltlich sei eher an eine feinmotorische Tätigkeit zu denken, wobei diese Arbeit durchaus im Team oder mit weiteren Drittkontakten verbunden sein dürfe, zumal das Sozialverhalten des Beschwerdeführers durchaus gemeinschaftskompatibel sei. Die letzte invalidisierende depressive Anpassungsstörung scheine anlässlich der Rentenaufhebung im Jahr 2013 erfolgt zu sein (Vorbescheid vom 19. März 2013, Verfügung vom 5. August 2013). Selbst wenn man für diesen Zeitraum eine 100 %ige Arbeitsunfähigkeit postulieren würde, könne mit genügender Sicherheit davon ausgegangen werden, dass depressive Anpassungsstörungen nach spätestens zwei Jahren wieder dem Habitualzustand Platz gemacht hätten, was also spätestens im Lauf des Jahres 2015 hätte geschehen müssen. Tatsächlich sei der Beschwerdeführer zum aktuellen Zeitpunkt frei von depressiven Symptomen, so dass seit 2013 von einer kontinuierlichen Erholung mit diesbezüglich praktisch vollständiger Remission spätestens 2015 ausgegangen werden dürfe (act. G 15 S. 34 ff.). 2.3  Mit Stellungnahme vom 17. Februar 2017 macht der Beschwerdeführer zum einen geltend, dass er immer wieder depressive Phasen gehabt habe und habe. Auch Dr. G.___ habe für die Zeit ab Frühjahr/Sommer 2013, also für die Zeit der angefochtenen Verfügung, für eine Zeitdauer von rund 2 Jahren eine Depression oder depressive Anpassungsstörung festgestellt. Per 6. Dezember 2014 (gemeint wohl: 2016) könne nicht von einer Einschränkung der Arbeitsfähigkeit von lediglich 20 % ausgegangen werden. Vielmehr sei wohl von einer invalidisierenden Arbeitsunfähigkeit auszugehen, so wie sie der Gutachter bereits für die Zeit des Vorbescheids im Frühjahr 2013 und die rund zwei Jahre danach bejaht habe. Im Weiteren komme der Gutachter zwar auf den Entscheid 9C_492/2014 vom 3. Juni 2015 zu sprechen. Dabei behandle er auch einen Teil der in diesem Entscheid aufgeführten Standardindikatoren, jedoch nicht alle. Vor allem beim Komplex "Gesundheitsschaden" werde zu verschiedenen Indikatoren keine Stellung bezogen. Auch beim Komplex "Konsistenz" würden verschiedene Kriterien nicht abgehandelt. Selbes gelte auch für den Komplex "Sozialer Kontext". Schliesslich äussere sich der Gutachter im Zusammenhang mit den Diagnosen auch nicht zu den Wechselwirkungen der Diagnosen, obwohl der Beschwerdeführer ganz offensichtlich einerseits unter somatischen, andererseits unter psychischen Beschwerde leide. Das psychiatrische Gutachten erweise sich damit als nicht vollständig und nicht nachvollziehbar. Es werde daher beantragt, den Beschwerdeführer erneut psychiatrisch begutachten zu lassen. Sollte dennoch auf das Gutachten von Dr. G.___ abgestellt werden, sei zu berücksichtigen, dass die letzte invalidisierende depressive Anpassungsstörung im Jahr 2013 erfolgt sei und sich im Laufe des Jahres 2015 zurückgebildet habe. Somit bestehe für den Zeitraum von Frühling 2013 bis zum Frühling 2015 bzw. weiterhin ein Anspruch des Beschwerdeführers auf eine ganze Rente. Selbst unter Annahme eines verbesserten Gesundheitszustands ab Sommer 2015 sei zu beachten, dass das Valideneinkommen und das Invalideneinkommen rechtsgenüglich zu bestimmen seien. Zudem sei auf Grund der Einschränkungen ein Leidensabzug von 25 % vorzunehmen. Bei Heranzug von Tabellenlöhnen sowohl für das Valideneinkommen als auch für das Invalideneinkommen sowie unter Berücksichtigung der vom Gutachter festgestellten Arbeitsunfähigkeit von 20 % resultiere ein Invaliditätsgrad von mindestens 40 % und damit zumindest ein Anspruch auf eine Viertelsrente (act. G 19). 2.4  Entgegen der Ansicht des Beschwerdeführers bestätigt das Gerichtsgutachten nun, dass beim Beschwerdeführer kein invalidisierender Gesundheitsschaden (mehr) vorliegt. So gelangt Dr. G.___ grundsätzlich zum selben Ergebnis wie Dr. E.___, indem auch er neben der somatoformen Schmerzstörung bzw. der chronischen Schmerzstörung mit somatischen und psychischen Faktoren, welche beide Gutachter mit dem ICD-10-Code F45.41 bezeichnen, kein depressives oder anderweitig krankheitswertiges Geschehen feststellen kann. Insofern kann auch - mit Ausnahme einer vorübergehenden depressiven Verstimmung im Nachgang zur angefochtenen Verfügung (vgl. zur Arbeitsfähigkeit am Schluss der nachstehenden Erwägung 2.5) - eine wesentliche Veränderung bzw. Verschlechterung des psychischen Gesundheitszustands im Zeitablauf zwischen der Begutachtung durch Dr. E.___ im Oktober 2012 und jener von Dr. G.___ im August 2016 verneint werden. Der Beschwerdeführer ist zudem seit Februar 2007 nicht mehr in psychiatrischer Behandlung bei Dr. C.___ und - soweit ersichtlich - auch nicht bei einem anderen Arzt, was ebenfalls gegen das Vorliegen einer schwerwiegenden psychiatrischen Komorbidität spricht (act. G 4.1/70 und Gutachten S. 12). Ein Mangel des Gutachtens lässt sich sodann nicht daraus ableiten, dass Dr. G.___ nicht sämtliche der im Entscheid 9C_492/2014 vom 3. Juni 2015 (BGE 141 V 297 f. E. 4.1.3) genannten Indikatoren "abgearbeitet" hat, sind doch nicht alle Kriterien für den jeweiligen Fall einschlägig. Es handelt sich denn - wie auch der Rechtsvertreter anmerkt - um einen Standard-Fragekatalog, dessen Handhabung stets den Umständen des Einzelfalls gerecht werden muss, und nicht um eine abhakbare Checkliste (E. 4.1.1  2. Absatz des genannten Entscheids). Dass nicht zu sämtlichen Punkten Stellung genommen werden konnte, liegt im Wesentlichen daran, dass Dr. G.___ eben keine konkreten Erscheinungsformen einer Gesundheitsschädigung gefunden hat. So kann etwa auch nichts gesagt werden zur Abgrenzung der Funktionseinschränkungen, welche auf diese Gesundheitsschädigung zurückzuführen sind, von solchen, die Folgen von nicht versicherten Faktoren sind. Andere Kriterien betreffen lediglich Suchtleiden, die vorliegend ohne Belang sind, oder die Aggravation, die dem Beschwerdeführer nicht vorgehalten wird. Jedenfalls kann festgestellt werden, dass der Gutachter zu den hier einschlägigen Kriterien "Ausprägung und Schwere der objektiven Befunde", "Feststellungen über die konkreten Erscheinungsformen der Gesundheitsschädigung", zum "aktuellen Persönlichkeitsbild und der biografischen Persönlichkeitsentwicklung" sowie zu den vorhandenen persönlichen Ressourcen gemäss Standard-Fragekatalog der IV-Stelle Stellung genommen hat ("Beurteilung" S. 23 ff.). Im Übrigen zielen die meisten der nicht explizit behandelten Indikatoren auf einen Haftungsausschluss der Invalidenversicherung, sodass deren Nichtbeachtung ohnehin nicht zu Ungunsten des Beschwerdeführers ausfallen würde bzw. ausfällt. Dasselbe gilt auch für den Bereich "Konsistenz", soll doch vor allem mit den ersten beiden Kriterien (kritische Würdigungen von Diskrepanzen und der Auswirkungen der geltend gemachten Arbeitsunfähigkeit in allen vergleichbaren Lebensbereichen) wiederum nach haftungsausschliessenden Inkonsistenzen gesucht werden. Im Übrigen hat der Gutachter zur Frage der Konsistenz bzw. Inkonsistenz nach B. Widder et al. Stellung genommen, indem er gewisse Inkonsistenzen festgestellt hat (Gutachten S. 30 f. und S. 34). Beim Komplex "Sozialer Kontext" trifft der Vorwurf, nicht alle Kriterien berücksichtigt zu haben, nicht zu. Vielmehr nahm der Experte zu sämtlichen Indikatoren zumindest indirekt Stellung, indem er die Anamnese erhoben und den Alltag des Beschwerdeführers beschrieben (S. 5 ff., S. 8 ff.), zu den sozialen Belastungen, welche direkt negative funktionelle Folgen zeitigen (S. 29, 33 f.), und zu den Ressourcen (S. 33) Ausführungen gemacht hat. Nichtmedizinische Akten - wie zu Arbeitstrainings oder Haushaltsabklärungen - sind soweit ersichtlich, nicht vorhanden. Schliesslich kann dem Gutachter nicht vorgeworfen werden, sich nicht zu Wechselwirkungen zwischen den von ihm erhobenen Diagnosen Stellung genommen zu haben, hat er doch nur eine Diagnose gestellt. Entgegen den Ausführungen des Rechtsvertreters diagnostizierte Dr. G.___ gerade keine psychischen Beschwerden mit Krankheitswert (Depression), sodass daraus auch keine Wechselwirkungen entstehen können. Das Gutachten ist damit eine taugliche Grundlage zur Beurteilung des medizinischen Gesundheitszustands des Beschwerdeführers. Es steht sodann nicht im Widerspruch zum Gutachten von Dr. E.___ und korrigiert dessen Versäumnis, eine gültige Arbeitsfähigkeitsschätzung abzugeben. Eine Oberbegutachtung ist demnach nicht angezeigt. 2.5  Nach Dr. G.___ kann dem Beschwerdeführer somit aus psychiatrischer Sicht keine über 20 % hinausgehende Einschränkung der Arbeitsfähigkeit in einer rückenadaptierten Tätigkeit zugebilligt werden. Eine höhere vorübergehende Arbeitsunfähigkeit nach der Rentenaufhebung vom März/August 2013 bis zum Sommer 2015 ist zudem nicht mit überwiegender Wahrscheinlichkeit dargetan. Zwar geht Dr. G.___ davon aus, dass die versicherungsbedingte Lebensveränderung einschneidend genug war, um eine signifikante depressive Verstimmung auszulösen. Im Weiteren stellt er aber lediglich fest, dass solche stets reversibel seien und im Fall von "kurzen depressiven Reaktionen" meistens innerhalb eines Monats, im Fall von "langen depressiven Reaktionen" innerhalb von zwei Jahren endeten. Eine affektive Störung könne heute nicht mehr geltend gemacht werden (Gutachten S. 25). Eine signifikant über 20 % liegende Arbeitsunfähigkeit ist somit auch für den Zeitraum von März 2013 bis August 2015 nicht ausgewiesen. Entgegen der Ansicht des Rechtsvertreters kann eine solche auch nicht aus Frage 3 auf Seite 36 des Gutachtens abgeleitet werden, spricht Dr. G.___ doch lediglich hypothetisch von einer 100 %igen Arbeitsunfähigkeit ("Sogar wenn man für diesen Zeitraum eine 100 %ige Arbeitsunfähigkeit postulieren würde, …."). 2.6  Im Weiteren macht der Beschwerdeführer geltend, selbst unter Annahme eines Arbeitsfähigkeitsgrades von 80 % würde mindestens ein Anspruch auf eine Viertelsrente bestehen. Bei Heranzug von Tabellenlöhnen sowohl für das Valideneinkommen als auch für das Invalideneinkommen sowie unter Berücksichtigung eines Leidensabzugs von 25 % resultiere nämlich ein Invaliditätsgrad von mindestens 40 %. Den Leidensabzug von 25 % begründet der Beschwerdeführer mit diversen Einschränkungen in Bezug auf die rückengerechte Adaptation. So seien das Heben schwerer Lasten, aber auch ausgesprochene Zwangshaltungen ausgeschlossen. Zu bevorzugen sei eine wechselnd belastende Tätigkeit, damit die Körperstellung immer wieder variiert werden könne, jedenfalls kein stundenlanges Verharren in sitzender Position. Sodann sei gemäss Gutachter auch an die Möglichkeit von vermehrten Pausen zu denken, allenfalls auch mit der Möglichkeit, sich hinzulegen. Es sei eher an eine feinmotorische Tätigkeit zu denken. Ausserdem seien die Einschränkungen des Beschwerdeführers beim Verbalen zu beachten. Zudem seien das Alter des Beschwerdeführers, die lange Dauer seit dem Ausscheiden aus dem Erwerbsleben sowie sein Ausländerstatus zu berücksichtigen. Dies alles führe dazu, dass ein Abzug vom Tabellenlohn im Maximalbereich von 25 % vorzunehmen sei. 2.7  Dem ist entgegen zu halten, dass die von Dr. G.___ in psychiatrischer Sicht zugestandene Arbeitsunfähigkeit von 20 % auch nach dessen eigenen Ausführungen das obere Limit darstellt. So führt Dr. G.___ aus, der Beschwerdeführer klage aktuell eigentlich nur über Beeinträchtigungen auf somatischer Ebene, so dass aus psychiatrischer Sicht kein Anlass bestehe, ihm eine substantielle Arbeitsunfähigkeit zu bescheinigen. Jedenfalls sei nicht von einer um mehr als 20 % verminderten Arbeitsfähigkeit aus psychiatrischer Sicht auszugehen (S. 35). In somatischer Hinsicht geht Dr. D.___ in seinem Gutachten vom 8. Februar 2013 von einem iliosakralen Schmerzsyndrom bei geringem organischem Korrelat ohne Auswirkung auf die Arbeitsfähigkeit aus. Dementsprechend postuliert er eine Arbeitsfähigkeit aus rheumatologischer Sicht von 100 % in einer körperlich mittelschwer belastenden Tätigkeit wie der zuletzt ausgeübten Tätigkeit als Kran-/Maschinenführer in einem Hartchromwerk (act. G 4.1/78.16 und 78.25). Im Weiteren ist selbst unter Berücksichtigung der von Dr. G.___ besonders in Bezug auf die Wechselbelastung weitergehend - allerdings nicht fachärztlich-rheumatologisch - umschriebenen Einschränkungen einer rückenadaptierten Tätigkeit nicht von derart reduzierten Einsatzmöglichkeiten auf dem ausgeglichenen Normarbeitsmarkt auszugehen, dass sich ein maximaler Abzug von 25 % vom Tabellenlohn rechtfertigen würde. Die Möglichkeit vermehrter Pausen ist bereits in die Arbeitsfähigkeitsschätzung eingeflossen, weshalb sie beim Tabellenlohnabzug nicht nochmals zu berücksichtigen ist. Die weiteren Vorbringen - lange Abwesenheit vom Erwerbsleben und geringe verbale Fähigkeiten - fallen sodann bei den für den Beschwerdeführer in Frage kommenden Hilfstätigkeiten ebenfalls nicht derart stark ins Gewicht, dass daraus ein Anspruch auf einen maximalen Abzug resultieren würde. Bei diesem Ergebnis braucht der angemessene Abzug nicht exakt festgelegt zu werden, da jedenfalls ein rentenausschliessender Invaliditätsgrad von unter 40 % resultiert. Nachdem der Beschwerdeführer nicht an Eingliederungsmassnahmen nach Art. 8a IVG teilnimmt, erweist sich die Aufhebung der Rente per 1. Oktober 2013 als rechtens (Schlussbestimmung lit. a Abs. 2 und 3 in Verbindung mit Art. 88bis Abs. 2 lit. a IVV).</w:t>
      </w:r>
    </w:p>
    <w:p>
      <w:r>
        <w:rPr>
          <w:b/>
        </w:rPr>
        <w:t>E. 3</w:t>
      </w:r>
    </w:p>
    <w:p>
      <w:r>
        <w:t>Die Beschwerdegegnerin bezahlt die Kosten des Gerichtsgutachtens von Fr. 7'000.--.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